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D6392" w14:textId="77777777" w:rsidR="009504A3" w:rsidRDefault="009504A3"/>
    <w:p w14:paraId="2D2C50E2" w14:textId="2CC780B0" w:rsidR="009504A3" w:rsidRDefault="009504A3" w:rsidP="009504A3">
      <w:pPr>
        <w:rPr>
          <w:b/>
          <w:bCs/>
          <w:sz w:val="28"/>
          <w:szCs w:val="28"/>
        </w:rPr>
      </w:pPr>
      <w:r w:rsidRPr="009504A3">
        <w:rPr>
          <w:b/>
          <w:bCs/>
          <w:sz w:val="28"/>
          <w:szCs w:val="28"/>
        </w:rPr>
        <w:t>Safeguarding standards for general practice</w:t>
      </w:r>
    </w:p>
    <w:p w14:paraId="7A5E7D61" w14:textId="77777777" w:rsidR="009504A3" w:rsidRDefault="009504A3">
      <w:r>
        <w:t>Please note that the RCGP p</w:t>
      </w:r>
      <w:r w:rsidRPr="009504A3">
        <w:t xml:space="preserve">ublished new safeguarding standards on </w:t>
      </w:r>
      <w:r>
        <w:t>the 1</w:t>
      </w:r>
      <w:r w:rsidRPr="009504A3">
        <w:rPr>
          <w:vertAlign w:val="superscript"/>
        </w:rPr>
        <w:t>st</w:t>
      </w:r>
      <w:r>
        <w:t xml:space="preserve"> of October 2024.</w:t>
      </w:r>
      <w:r w:rsidRPr="009504A3">
        <w:t xml:space="preserve"> </w:t>
      </w:r>
    </w:p>
    <w:p w14:paraId="46C8B97F" w14:textId="0D3D9928" w:rsidR="009504A3" w:rsidRDefault="009504A3">
      <w:r w:rsidRPr="009504A3">
        <w:t>These are for all GPs and everyone working in a general practice setting in the UK</w:t>
      </w:r>
      <w:r>
        <w:t xml:space="preserve"> and replace previous </w:t>
      </w:r>
      <w:r w:rsidR="006A2715">
        <w:t>i</w:t>
      </w:r>
      <w:r>
        <w:t xml:space="preserve">ntercollegiate </w:t>
      </w:r>
      <w:r w:rsidR="006A2715">
        <w:t>g</w:t>
      </w:r>
      <w:r>
        <w:t>uidance</w:t>
      </w:r>
      <w:r w:rsidRPr="009504A3">
        <w:t xml:space="preserve">. </w:t>
      </w:r>
    </w:p>
    <w:p w14:paraId="11C3B84E" w14:textId="74F0B678" w:rsidR="00E54A90" w:rsidRDefault="009504A3">
      <w:r w:rsidRPr="009504A3">
        <w:t>These standards are a single life course document incorporating child and adult safeguarding</w:t>
      </w:r>
      <w:r w:rsidR="00435FB6">
        <w:t xml:space="preserve"> and </w:t>
      </w:r>
      <w:r w:rsidR="00435FB6" w:rsidRPr="00435FB6">
        <w:t>the training requirements</w:t>
      </w:r>
      <w:r w:rsidR="00435FB6">
        <w:t xml:space="preserve"> have changed </w:t>
      </w:r>
      <w:r w:rsidR="00435FB6" w:rsidRPr="00435FB6">
        <w:t>so that they are no longer based on the number of hours completed but instead focus on adult learning principles.</w:t>
      </w:r>
    </w:p>
    <w:p w14:paraId="48D00A7A" w14:textId="77777777" w:rsidR="00EA5C06" w:rsidRDefault="00EA5C06"/>
    <w:p w14:paraId="23F08A98" w14:textId="2A33F0CF" w:rsidR="009504A3" w:rsidRDefault="00435FB6">
      <w:r w:rsidRPr="00435FB6">
        <w:t>Safeguarding learning and reflection should, over time (for example over a revalidation cycle), be across the breadth of the five areas of knowledge and capabilities in the RCGP safeguarding standards</w:t>
      </w:r>
      <w:r>
        <w:t>, namely:</w:t>
      </w:r>
    </w:p>
    <w:p w14:paraId="2D7A6722" w14:textId="7760D6F0" w:rsidR="00435FB6" w:rsidRPr="00435FB6" w:rsidRDefault="00435FB6" w:rsidP="00744714">
      <w:pPr>
        <w:ind w:left="720"/>
        <w:rPr>
          <w:b/>
          <w:bCs/>
        </w:rPr>
      </w:pPr>
      <w:r w:rsidRPr="00744714">
        <w:rPr>
          <w:b/>
          <w:bCs/>
        </w:rPr>
        <w:t xml:space="preserve">1. </w:t>
      </w:r>
      <w:r w:rsidRPr="00435FB6">
        <w:rPr>
          <w:b/>
          <w:bCs/>
        </w:rPr>
        <w:t>Professional safeguarding responsibilities</w:t>
      </w:r>
    </w:p>
    <w:p w14:paraId="4BD34823" w14:textId="77777777" w:rsidR="00435FB6" w:rsidRPr="00435FB6" w:rsidRDefault="00435FB6" w:rsidP="00744714">
      <w:pPr>
        <w:ind w:left="720"/>
        <w:rPr>
          <w:b/>
          <w:bCs/>
        </w:rPr>
      </w:pPr>
      <w:r w:rsidRPr="00435FB6">
        <w:rPr>
          <w:b/>
          <w:bCs/>
        </w:rPr>
        <w:t>2. Identification of abuse and neglect</w:t>
      </w:r>
    </w:p>
    <w:p w14:paraId="038336D1" w14:textId="77777777" w:rsidR="00435FB6" w:rsidRPr="00435FB6" w:rsidRDefault="00435FB6" w:rsidP="00744714">
      <w:pPr>
        <w:ind w:left="720"/>
        <w:rPr>
          <w:b/>
          <w:bCs/>
        </w:rPr>
      </w:pPr>
      <w:r w:rsidRPr="00435FB6">
        <w:rPr>
          <w:b/>
          <w:bCs/>
        </w:rPr>
        <w:t>3. Responding to abuse and neglect</w:t>
      </w:r>
    </w:p>
    <w:p w14:paraId="5BDAAA12" w14:textId="77777777" w:rsidR="00435FB6" w:rsidRPr="00435FB6" w:rsidRDefault="00435FB6" w:rsidP="00744714">
      <w:pPr>
        <w:ind w:left="720"/>
        <w:rPr>
          <w:b/>
          <w:bCs/>
        </w:rPr>
      </w:pPr>
      <w:r w:rsidRPr="00435FB6">
        <w:rPr>
          <w:b/>
          <w:bCs/>
        </w:rPr>
        <w:t>4. Documenting safeguarding concerns and information</w:t>
      </w:r>
    </w:p>
    <w:p w14:paraId="6EBB4C94" w14:textId="77777777" w:rsidR="00435FB6" w:rsidRDefault="00435FB6" w:rsidP="00744714">
      <w:pPr>
        <w:ind w:left="720"/>
        <w:rPr>
          <w:b/>
          <w:bCs/>
        </w:rPr>
      </w:pPr>
      <w:r w:rsidRPr="00435FB6">
        <w:rPr>
          <w:b/>
          <w:bCs/>
        </w:rPr>
        <w:t>5. Information sharing and multiagency working</w:t>
      </w:r>
    </w:p>
    <w:p w14:paraId="75A29A48" w14:textId="77777777" w:rsidR="00EA5C06" w:rsidRPr="00744714" w:rsidRDefault="00EA5C06" w:rsidP="00744714">
      <w:pPr>
        <w:ind w:left="720"/>
        <w:rPr>
          <w:b/>
          <w:bCs/>
        </w:rPr>
      </w:pPr>
    </w:p>
    <w:p w14:paraId="61656639" w14:textId="77777777" w:rsidR="00744714" w:rsidRDefault="00744714" w:rsidP="00744714">
      <w:r w:rsidRPr="00744714">
        <w:t>Practitioners should cover both children and adult safeguarding in their learning and reflection, including practitioners who only work with adults.</w:t>
      </w:r>
    </w:p>
    <w:p w14:paraId="0A0F77B8" w14:textId="77777777" w:rsidR="00744714" w:rsidRPr="00744714" w:rsidRDefault="00744714" w:rsidP="00744714">
      <w:r w:rsidRPr="00744714">
        <w:t>Learning and reflection across the five areas of safeguarding knowledge and capabilities could include:</w:t>
      </w:r>
    </w:p>
    <w:p w14:paraId="0E708D9C" w14:textId="77777777" w:rsidR="00744714" w:rsidRPr="00744714" w:rsidRDefault="00744714" w:rsidP="00744714">
      <w:pPr>
        <w:numPr>
          <w:ilvl w:val="0"/>
          <w:numId w:val="2"/>
        </w:numPr>
        <w:rPr>
          <w:rStyle w:val="SubtleEmphasis"/>
          <w:i w:val="0"/>
          <w:iCs w:val="0"/>
        </w:rPr>
      </w:pPr>
      <w:r w:rsidRPr="00744714">
        <w:rPr>
          <w:rStyle w:val="SubtleEmphasis"/>
          <w:i w:val="0"/>
          <w:iCs w:val="0"/>
        </w:rPr>
        <w:t>Safeguarding case discussion. The Safeguarding Case Review - Structured Template could be used to demonstrate case reflection (individual reflection or case-based discussion)</w:t>
      </w:r>
    </w:p>
    <w:p w14:paraId="0EF56341" w14:textId="77777777" w:rsidR="00744714" w:rsidRPr="00744714" w:rsidRDefault="00744714" w:rsidP="00744714">
      <w:pPr>
        <w:numPr>
          <w:ilvl w:val="0"/>
          <w:numId w:val="2"/>
        </w:numPr>
        <w:rPr>
          <w:rStyle w:val="SubtleEmphasis"/>
          <w:i w:val="0"/>
          <w:iCs w:val="0"/>
        </w:rPr>
      </w:pPr>
      <w:r w:rsidRPr="00744714">
        <w:rPr>
          <w:rStyle w:val="SubtleEmphasis"/>
          <w:i w:val="0"/>
          <w:iCs w:val="0"/>
        </w:rPr>
        <w:t>Regular attendance at practice/organisational safeguarding meetings with reflection on learning and impact on practice</w:t>
      </w:r>
    </w:p>
    <w:p w14:paraId="76ED7653" w14:textId="77777777" w:rsidR="00744714" w:rsidRPr="00744714" w:rsidRDefault="00744714" w:rsidP="00744714">
      <w:pPr>
        <w:numPr>
          <w:ilvl w:val="0"/>
          <w:numId w:val="2"/>
        </w:numPr>
        <w:rPr>
          <w:rStyle w:val="SubtleEmphasis"/>
          <w:i w:val="0"/>
          <w:iCs w:val="0"/>
        </w:rPr>
      </w:pPr>
      <w:r w:rsidRPr="00744714">
        <w:rPr>
          <w:rStyle w:val="SubtleEmphasis"/>
          <w:i w:val="0"/>
          <w:iCs w:val="0"/>
        </w:rPr>
        <w:t>Example of documenting safeguarding concerns and information and how risks were dealt with</w:t>
      </w:r>
    </w:p>
    <w:p w14:paraId="0EE13375" w14:textId="77777777" w:rsidR="00744714" w:rsidRPr="00744714" w:rsidRDefault="00744714" w:rsidP="00744714">
      <w:pPr>
        <w:numPr>
          <w:ilvl w:val="0"/>
          <w:numId w:val="2"/>
        </w:numPr>
        <w:rPr>
          <w:rStyle w:val="SubtleEmphasis"/>
          <w:i w:val="0"/>
          <w:iCs w:val="0"/>
        </w:rPr>
      </w:pPr>
      <w:r w:rsidRPr="00744714">
        <w:rPr>
          <w:rStyle w:val="SubtleEmphasis"/>
          <w:i w:val="0"/>
          <w:iCs w:val="0"/>
        </w:rPr>
        <w:t>Example of information sharing or involvement in multi-agency working with reflection on good practice and/or areas for development</w:t>
      </w:r>
    </w:p>
    <w:p w14:paraId="707FD928" w14:textId="28666D2F" w:rsidR="00744714" w:rsidRPr="00744714" w:rsidRDefault="00A20078" w:rsidP="00744714">
      <w:pPr>
        <w:numPr>
          <w:ilvl w:val="0"/>
          <w:numId w:val="2"/>
        </w:numPr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</w:rPr>
        <w:t>R</w:t>
      </w:r>
      <w:r w:rsidR="00744714" w:rsidRPr="00744714">
        <w:rPr>
          <w:rStyle w:val="SubtleEmphasis"/>
          <w:i w:val="0"/>
          <w:iCs w:val="0"/>
        </w:rPr>
        <w:t>eading and/or online learning with reflection on impact on practice</w:t>
      </w:r>
    </w:p>
    <w:p w14:paraId="73BAC292" w14:textId="77777777" w:rsidR="00744714" w:rsidRPr="00744714" w:rsidRDefault="00744714" w:rsidP="00744714">
      <w:pPr>
        <w:numPr>
          <w:ilvl w:val="0"/>
          <w:numId w:val="2"/>
        </w:numPr>
        <w:rPr>
          <w:rStyle w:val="SubtleEmphasis"/>
          <w:i w:val="0"/>
          <w:iCs w:val="0"/>
        </w:rPr>
      </w:pPr>
      <w:r w:rsidRPr="00744714">
        <w:rPr>
          <w:rStyle w:val="SubtleEmphasis"/>
          <w:i w:val="0"/>
          <w:iCs w:val="0"/>
        </w:rPr>
        <w:t>Attendance on a safeguarding update/course with reflection on learning</w:t>
      </w:r>
    </w:p>
    <w:p w14:paraId="5EC762BC" w14:textId="77777777" w:rsidR="00744714" w:rsidRPr="00744714" w:rsidRDefault="00744714" w:rsidP="00744714">
      <w:pPr>
        <w:numPr>
          <w:ilvl w:val="0"/>
          <w:numId w:val="2"/>
        </w:numPr>
        <w:rPr>
          <w:rStyle w:val="SubtleEmphasis"/>
          <w:i w:val="0"/>
          <w:iCs w:val="0"/>
        </w:rPr>
      </w:pPr>
      <w:r w:rsidRPr="00744714">
        <w:rPr>
          <w:rStyle w:val="SubtleEmphasis"/>
          <w:i w:val="0"/>
          <w:iCs w:val="0"/>
        </w:rPr>
        <w:t>Safeguarding CPD activities with reflection on learning and impact on practice</w:t>
      </w:r>
    </w:p>
    <w:p w14:paraId="22239E57" w14:textId="77777777" w:rsidR="00744714" w:rsidRPr="00744714" w:rsidRDefault="00744714" w:rsidP="00744714">
      <w:pPr>
        <w:numPr>
          <w:ilvl w:val="0"/>
          <w:numId w:val="2"/>
        </w:numPr>
        <w:rPr>
          <w:rStyle w:val="SubtleEmphasis"/>
          <w:i w:val="0"/>
          <w:iCs w:val="0"/>
        </w:rPr>
      </w:pPr>
      <w:r w:rsidRPr="00744714">
        <w:rPr>
          <w:rStyle w:val="SubtleEmphasis"/>
          <w:i w:val="0"/>
          <w:iCs w:val="0"/>
        </w:rPr>
        <w:t>Safeguarding quality improvement activities</w:t>
      </w:r>
    </w:p>
    <w:p w14:paraId="4B7E337D" w14:textId="77777777" w:rsidR="00744714" w:rsidRPr="00744714" w:rsidRDefault="00744714" w:rsidP="00744714">
      <w:pPr>
        <w:numPr>
          <w:ilvl w:val="0"/>
          <w:numId w:val="2"/>
        </w:numPr>
        <w:rPr>
          <w:rStyle w:val="SubtleEmphasis"/>
          <w:i w:val="0"/>
          <w:iCs w:val="0"/>
        </w:rPr>
      </w:pPr>
      <w:r w:rsidRPr="00744714">
        <w:rPr>
          <w:rStyle w:val="SubtleEmphasis"/>
          <w:i w:val="0"/>
          <w:iCs w:val="0"/>
        </w:rPr>
        <w:t>Safeguarding significant events with reflection on learning and impact on practice</w:t>
      </w:r>
    </w:p>
    <w:p w14:paraId="438A31FA" w14:textId="77777777" w:rsidR="00744714" w:rsidRPr="00744714" w:rsidRDefault="00744714" w:rsidP="00744714">
      <w:pPr>
        <w:numPr>
          <w:ilvl w:val="0"/>
          <w:numId w:val="2"/>
        </w:numPr>
        <w:rPr>
          <w:rStyle w:val="SubtleEmphasis"/>
          <w:i w:val="0"/>
          <w:iCs w:val="0"/>
        </w:rPr>
      </w:pPr>
      <w:r w:rsidRPr="00744714">
        <w:rPr>
          <w:rStyle w:val="SubtleEmphasis"/>
          <w:i w:val="0"/>
          <w:iCs w:val="0"/>
        </w:rPr>
        <w:t>Participation in statutory reviews and quality improvement activities or learning and impact on practice that may have resulted from this</w:t>
      </w:r>
    </w:p>
    <w:p w14:paraId="27AC2F6B" w14:textId="77777777" w:rsidR="00744714" w:rsidRPr="00744714" w:rsidRDefault="00744714" w:rsidP="00744714">
      <w:pPr>
        <w:numPr>
          <w:ilvl w:val="0"/>
          <w:numId w:val="2"/>
        </w:numPr>
        <w:rPr>
          <w:rStyle w:val="SubtleEmphasis"/>
          <w:i w:val="0"/>
          <w:iCs w:val="0"/>
        </w:rPr>
      </w:pPr>
      <w:r w:rsidRPr="00744714">
        <w:rPr>
          <w:rStyle w:val="SubtleEmphasis"/>
          <w:i w:val="0"/>
          <w:iCs w:val="0"/>
        </w:rPr>
        <w:t>Multi-agency safeguarding training or learning events with reflection on learning and impact on practice</w:t>
      </w:r>
    </w:p>
    <w:p w14:paraId="226A9C87" w14:textId="77777777" w:rsidR="00435FB6" w:rsidRPr="00435FB6" w:rsidRDefault="00435FB6" w:rsidP="00435FB6"/>
    <w:p w14:paraId="06D67268" w14:textId="58A9712B" w:rsidR="00435FB6" w:rsidRDefault="00435FB6">
      <w:r w:rsidRPr="00435FB6">
        <w:t>Alongside these new standards</w:t>
      </w:r>
      <w:r>
        <w:t>, the RCGP</w:t>
      </w:r>
      <w:r w:rsidRPr="00435FB6">
        <w:t xml:space="preserve"> have developed a new </w:t>
      </w:r>
      <w:hyperlink r:id="rId5" w:history="1">
        <w:r w:rsidRPr="00435FB6">
          <w:rPr>
            <w:rStyle w:val="Hyperlink"/>
          </w:rPr>
          <w:t>RCGP safeguarding toolkit</w:t>
        </w:r>
      </w:hyperlink>
      <w:r w:rsidRPr="00435FB6">
        <w:t>, </w:t>
      </w:r>
      <w:hyperlink r:id="rId6" w:history="1">
        <w:r w:rsidRPr="00435FB6">
          <w:rPr>
            <w:rStyle w:val="Hyperlink"/>
          </w:rPr>
          <w:t>eLearning modules</w:t>
        </w:r>
      </w:hyperlink>
      <w:r w:rsidRPr="00435FB6">
        <w:t>, a </w:t>
      </w:r>
      <w:hyperlink r:id="rId7" w:history="1">
        <w:r w:rsidRPr="00435FB6">
          <w:rPr>
            <w:rStyle w:val="Hyperlink"/>
          </w:rPr>
          <w:t>podcast and additional resources</w:t>
        </w:r>
      </w:hyperlink>
      <w:r w:rsidRPr="00435FB6">
        <w:t> to support safeguarding learning in general practice.</w:t>
      </w:r>
    </w:p>
    <w:p w14:paraId="7EB3CC1E" w14:textId="77777777" w:rsidR="00EA5C06" w:rsidRDefault="00EA5C06"/>
    <w:p w14:paraId="2AC3DBA1" w14:textId="7FA1905A" w:rsidR="00435FB6" w:rsidRDefault="006A2715">
      <w:r>
        <w:t>To make it easier, I would advise that t</w:t>
      </w:r>
      <w:r w:rsidR="00435FB6">
        <w:t xml:space="preserve">he </w:t>
      </w:r>
      <w:r w:rsidR="00435FB6" w:rsidRPr="00435FB6">
        <w:t>safeguarding reflective practice structured template</w:t>
      </w:r>
      <w:r w:rsidR="00435FB6">
        <w:t xml:space="preserve">, and safeguarding case review template where appropriate, </w:t>
      </w:r>
      <w:r>
        <w:t xml:space="preserve">are </w:t>
      </w:r>
      <w:r w:rsidR="00435FB6" w:rsidRPr="00435FB6">
        <w:t xml:space="preserve">completed annually </w:t>
      </w:r>
      <w:r w:rsidR="00435FB6">
        <w:t xml:space="preserve">and discussed at appraisal </w:t>
      </w:r>
      <w:r w:rsidR="00435FB6" w:rsidRPr="00435FB6">
        <w:t>to demonstrate safeguarding reflection and learning across the breadth of all the areas of safeguarding knowledge and capabilities.</w:t>
      </w:r>
    </w:p>
    <w:p w14:paraId="5BF2E367" w14:textId="77777777" w:rsidR="006A2715" w:rsidRDefault="006A2715"/>
    <w:bookmarkStart w:id="0" w:name="_MON_1791706293"/>
    <w:bookmarkEnd w:id="0"/>
    <w:p w14:paraId="0FB38C2A" w14:textId="0439B300" w:rsidR="006A2715" w:rsidRDefault="008F7038">
      <w:r>
        <w:object w:dxaOrig="1534" w:dyaOrig="994" w14:anchorId="0CCD66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8" o:title=""/>
          </v:shape>
          <o:OLEObject Type="Embed" ProgID="Word.Document.12" ShapeID="_x0000_i1025" DrawAspect="Icon" ObjectID="_1830498416" r:id="rId9">
            <o:FieldCodes>\s</o:FieldCodes>
          </o:OLEObject>
        </w:object>
      </w:r>
      <w:bookmarkStart w:id="1" w:name="_MON_1791706316"/>
      <w:bookmarkEnd w:id="1"/>
      <w:r w:rsidR="00EA5C06" w:rsidRPr="008F7038">
        <w:rPr>
          <w:sz w:val="24"/>
          <w:szCs w:val="24"/>
        </w:rPr>
        <w:object w:dxaOrig="1534" w:dyaOrig="994" w14:anchorId="62F9F715">
          <v:shape id="_x0000_i1026" type="#_x0000_t75" style="width:76.5pt;height:49.5pt" o:ole="">
            <v:imagedata r:id="rId10" o:title=""/>
          </v:shape>
          <o:OLEObject Type="Embed" ProgID="Word.Document.12" ShapeID="_x0000_i1026" DrawAspect="Icon" ObjectID="_1830498417" r:id="rId11">
            <o:FieldCodes>\s</o:FieldCodes>
          </o:OLEObject>
        </w:object>
      </w:r>
    </w:p>
    <w:p w14:paraId="2A969B8B" w14:textId="06EEBC1E" w:rsidR="006A2715" w:rsidRDefault="006A2715"/>
    <w:p w14:paraId="3AF06A96" w14:textId="7443EB03" w:rsidR="00435FB6" w:rsidRDefault="006A2715">
      <w:r>
        <w:t>I would</w:t>
      </w:r>
      <w:r w:rsidR="00CD628E">
        <w:t xml:space="preserve"> also</w:t>
      </w:r>
      <w:r>
        <w:t xml:space="preserve"> strongly advise you to review the guidance via the link below to ensure that you</w:t>
      </w:r>
      <w:r w:rsidR="005343D4">
        <w:t>,</w:t>
      </w:r>
      <w:r>
        <w:t xml:space="preserve"> and any staff you employ, are aware of and compliant with the new standards.</w:t>
      </w:r>
    </w:p>
    <w:p w14:paraId="415A2E3E" w14:textId="40877E74" w:rsidR="006A2715" w:rsidRDefault="006A2715">
      <w:hyperlink r:id="rId12" w:history="1">
        <w:r w:rsidRPr="006A2715">
          <w:rPr>
            <w:rStyle w:val="Hyperlink"/>
          </w:rPr>
          <w:t>RCGP safeguarding standards for general practice</w:t>
        </w:r>
      </w:hyperlink>
    </w:p>
    <w:p w14:paraId="71A126A1" w14:textId="77777777" w:rsidR="006A2715" w:rsidRDefault="006A2715"/>
    <w:p w14:paraId="2D53F617" w14:textId="77777777" w:rsidR="00EA5C06" w:rsidRPr="00EA5C06" w:rsidRDefault="00EA5C06" w:rsidP="00EA5C06">
      <w:r w:rsidRPr="00EA5C06">
        <w:rPr>
          <w:b/>
          <w:bCs/>
        </w:rPr>
        <w:t xml:space="preserve">Dr Lesley Atherton </w:t>
      </w:r>
    </w:p>
    <w:p w14:paraId="09148A21" w14:textId="77777777" w:rsidR="00EA5C06" w:rsidRPr="00EA5C06" w:rsidRDefault="00EA5C06" w:rsidP="00EA5C06">
      <w:pPr>
        <w:rPr>
          <w:b/>
          <w:bCs/>
        </w:rPr>
      </w:pPr>
      <w:r w:rsidRPr="00EA5C06">
        <w:rPr>
          <w:b/>
          <w:bCs/>
        </w:rPr>
        <w:t>Regional Appraisal Lead (Tier 1 and 2)</w:t>
      </w:r>
    </w:p>
    <w:p w14:paraId="7403C92F" w14:textId="77777777" w:rsidR="00EA5C06" w:rsidRPr="00EA5C06" w:rsidRDefault="00EA5C06" w:rsidP="00EA5C06">
      <w:r w:rsidRPr="00EA5C06">
        <w:rPr>
          <w:b/>
          <w:bCs/>
        </w:rPr>
        <w:t>NHS England North West</w:t>
      </w:r>
    </w:p>
    <w:p w14:paraId="55082D75" w14:textId="0DA118F7" w:rsidR="00EA5C06" w:rsidRPr="00EA5C06" w:rsidRDefault="00EA5C06" w:rsidP="00EA5C06">
      <w:pPr>
        <w:rPr>
          <w:b/>
          <w:bCs/>
          <w:u w:val="single"/>
        </w:rPr>
      </w:pPr>
      <w:r w:rsidRPr="00EA5C06">
        <w:rPr>
          <w:b/>
          <w:bCs/>
        </w:rPr>
        <w:t>E-mail: </w:t>
      </w:r>
      <w:hyperlink r:id="rId13" w:history="1">
        <w:r w:rsidRPr="00EA5C06">
          <w:rPr>
            <w:rStyle w:val="Hyperlink"/>
            <w:b/>
            <w:bCs/>
          </w:rPr>
          <w:t>lesleyatherton@nhs.net</w:t>
        </w:r>
      </w:hyperlink>
    </w:p>
    <w:p w14:paraId="0585A7A4" w14:textId="77777777" w:rsidR="006A2715" w:rsidRPr="00EA5C06" w:rsidRDefault="006A2715"/>
    <w:sectPr w:rsidR="006A2715" w:rsidRPr="00EA5C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93AE6"/>
    <w:multiLevelType w:val="multilevel"/>
    <w:tmpl w:val="8D94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0356FD"/>
    <w:multiLevelType w:val="multilevel"/>
    <w:tmpl w:val="FA68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1770259">
    <w:abstractNumId w:val="1"/>
  </w:num>
  <w:num w:numId="2" w16cid:durableId="823281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4A3"/>
    <w:rsid w:val="00435FB6"/>
    <w:rsid w:val="005172F1"/>
    <w:rsid w:val="005343D4"/>
    <w:rsid w:val="006A2715"/>
    <w:rsid w:val="0071146E"/>
    <w:rsid w:val="00744714"/>
    <w:rsid w:val="008F7038"/>
    <w:rsid w:val="00904C02"/>
    <w:rsid w:val="00947D2D"/>
    <w:rsid w:val="009504A3"/>
    <w:rsid w:val="00A20078"/>
    <w:rsid w:val="00CD628E"/>
    <w:rsid w:val="00E54A90"/>
    <w:rsid w:val="00EA5C06"/>
    <w:rsid w:val="00EB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8D201"/>
  <w15:chartTrackingRefBased/>
  <w15:docId w15:val="{0D2D76CB-8988-4D9F-BB77-80B71CE6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04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4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4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4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4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4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4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4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4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4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4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4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4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4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4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4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4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4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4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4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4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4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4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4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4A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5F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5FB6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74471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lesleyatherton@nhs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arning.rcgp.org.uk/safeguardinghub" TargetMode="External"/><Relationship Id="rId12" Type="http://schemas.openxmlformats.org/officeDocument/2006/relationships/hyperlink" Target="https://www.rcgp.org.uk/learning-resources/safeguarding-standar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ing.rcgp.org.uk/course/info.php?id=807" TargetMode="External"/><Relationship Id="rId11" Type="http://schemas.openxmlformats.org/officeDocument/2006/relationships/package" Target="embeddings/Microsoft_Word_Document1.docx"/><Relationship Id="rId5" Type="http://schemas.openxmlformats.org/officeDocument/2006/relationships/hyperlink" Target="https://elearning.rcgp.org.uk/mod/book/view.php?id=15290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.doc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ATHERTON, Lesley (NHS ENGLAND - X24)</dc:creator>
  <cp:keywords/>
  <dc:description/>
  <cp:lastModifiedBy>Suzanne Gaskell (School of Medicine and Dentistry)</cp:lastModifiedBy>
  <cp:revision>6</cp:revision>
  <dcterms:created xsi:type="dcterms:W3CDTF">2024-10-29T09:30:00Z</dcterms:created>
  <dcterms:modified xsi:type="dcterms:W3CDTF">2026-01-21T10:53:00Z</dcterms:modified>
</cp:coreProperties>
</file>